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楷体_GB2312" w:hAnsi="仿宋" w:eastAsia="楷体_GB2312" w:cs="Times New Roman"/>
          <w:b/>
          <w:bCs/>
          <w:sz w:val="30"/>
          <w:szCs w:val="30"/>
        </w:rPr>
      </w:pPr>
      <w:r>
        <w:rPr>
          <w:rFonts w:hint="eastAsia" w:ascii="楷体_GB2312" w:hAnsi="仿宋" w:eastAsia="楷体_GB2312" w:cs="楷体_GB2312"/>
          <w:b/>
          <w:bCs/>
          <w:sz w:val="30"/>
          <w:szCs w:val="30"/>
        </w:rPr>
        <w:t>附件：</w:t>
      </w:r>
      <w:r>
        <w:rPr>
          <w:rFonts w:ascii="楷体_GB2312" w:hAnsi="仿宋" w:eastAsia="楷体_GB2312" w:cs="Times New Roman"/>
          <w:b/>
          <w:bCs/>
          <w:sz w:val="30"/>
          <w:szCs w:val="30"/>
        </w:rPr>
        <w:t xml:space="preserve"> </w:t>
      </w:r>
    </w:p>
    <w:p>
      <w:pPr>
        <w:spacing w:line="400" w:lineRule="exact"/>
        <w:jc w:val="center"/>
        <w:rPr>
          <w:rFonts w:ascii="仿宋_GB2312" w:hAnsi="仿宋" w:eastAsia="仿宋_GB2312" w:cs="Times New Roman"/>
          <w:b/>
          <w:bCs/>
          <w:sz w:val="30"/>
          <w:szCs w:val="30"/>
        </w:rPr>
      </w:pPr>
    </w:p>
    <w:p>
      <w:pPr>
        <w:spacing w:line="860" w:lineRule="exact"/>
        <w:jc w:val="center"/>
        <w:rPr>
          <w:rFonts w:ascii="仿宋_GB2312" w:hAnsi="仿宋" w:eastAsia="仿宋_GB2312" w:cs="Times New Roman"/>
          <w:b/>
          <w:bCs/>
          <w:sz w:val="44"/>
          <w:szCs w:val="44"/>
        </w:rPr>
      </w:pPr>
      <w:r>
        <w:rPr>
          <w:rFonts w:hint="eastAsia" w:ascii="仿宋_GB2312" w:hAnsi="仿宋" w:eastAsia="仿宋_GB2312" w:cs="仿宋_GB2312"/>
          <w:b/>
          <w:bCs/>
          <w:sz w:val="44"/>
          <w:szCs w:val="44"/>
        </w:rPr>
        <w:t>景德镇市委组织部</w:t>
      </w:r>
      <w:r>
        <w:rPr>
          <w:rFonts w:ascii="仿宋_GB2312" w:hAnsi="仿宋" w:eastAsia="仿宋_GB2312" w:cs="仿宋_GB2312"/>
          <w:b/>
          <w:bCs/>
          <w:sz w:val="44"/>
          <w:szCs w:val="44"/>
        </w:rPr>
        <w:t>2020年</w:t>
      </w:r>
      <w:r>
        <w:rPr>
          <w:rFonts w:hint="eastAsia" w:ascii="仿宋_GB2312" w:hAnsi="仿宋" w:eastAsia="仿宋_GB2312" w:cs="仿宋_GB2312"/>
          <w:b/>
          <w:bCs/>
          <w:sz w:val="44"/>
          <w:szCs w:val="44"/>
        </w:rPr>
        <w:t>部门预算</w:t>
      </w:r>
    </w:p>
    <w:p>
      <w:pPr>
        <w:spacing w:before="240"/>
        <w:jc w:val="center"/>
        <w:rPr>
          <w:rFonts w:ascii="仿宋_GB2312" w:hAnsi="仿宋" w:eastAsia="仿宋_GB2312" w:cs="仿宋_GB2312"/>
          <w:b/>
          <w:bCs/>
          <w:sz w:val="44"/>
          <w:szCs w:val="44"/>
        </w:rPr>
      </w:pPr>
      <w:r>
        <w:rPr>
          <w:rFonts w:hint="eastAsia" w:ascii="仿宋_GB2312" w:hAnsi="仿宋" w:eastAsia="仿宋_GB2312" w:cs="仿宋_GB2312"/>
          <w:b/>
          <w:bCs/>
          <w:sz w:val="44"/>
          <w:szCs w:val="44"/>
        </w:rPr>
        <w:t>目</w:t>
      </w:r>
      <w:r>
        <w:rPr>
          <w:rFonts w:ascii="仿宋_GB2312" w:hAnsi="仿宋" w:eastAsia="仿宋_GB2312" w:cs="仿宋_GB2312"/>
          <w:b/>
          <w:bCs/>
          <w:sz w:val="44"/>
          <w:szCs w:val="44"/>
        </w:rPr>
        <w:t xml:space="preserve">   </w:t>
      </w:r>
      <w:r>
        <w:rPr>
          <w:rFonts w:hint="eastAsia" w:ascii="仿宋_GB2312" w:hAnsi="仿宋" w:eastAsia="仿宋_GB2312" w:cs="仿宋_GB2312"/>
          <w:b/>
          <w:bCs/>
          <w:sz w:val="44"/>
          <w:szCs w:val="44"/>
        </w:rPr>
        <w:t>录</w:t>
      </w:r>
    </w:p>
    <w:p>
      <w:pPr>
        <w:spacing w:before="240"/>
        <w:jc w:val="center"/>
        <w:rPr>
          <w:rFonts w:ascii="仿宋_GB2312" w:hAnsi="仿宋" w:eastAsia="仿宋_GB2312" w:cs="Times New Roman"/>
          <w:b/>
          <w:bCs/>
          <w:sz w:val="32"/>
          <w:szCs w:val="32"/>
        </w:rPr>
      </w:pP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景德镇市委组织部概况</w:t>
      </w:r>
    </w:p>
    <w:p>
      <w:pPr>
        <w:ind w:firstLine="600" w:firstLineChars="200"/>
        <w:rPr>
          <w:rFonts w:ascii="仿宋_GB2312" w:eastAsia="仿宋_GB2312" w:cs="Times New Roman"/>
          <w:sz w:val="30"/>
          <w:szCs w:val="30"/>
        </w:rPr>
      </w:pP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一、部门主要职责</w:t>
      </w:r>
    </w:p>
    <w:p>
      <w:pPr>
        <w:ind w:firstLine="600" w:firstLineChars="200"/>
        <w:rPr>
          <w:rFonts w:ascii="仿宋_GB2312" w:eastAsia="仿宋_GB2312" w:cs="Times New Roman"/>
          <w:sz w:val="30"/>
          <w:szCs w:val="30"/>
        </w:rPr>
      </w:pP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二、部门基本情况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景德镇市委组织部</w:t>
      </w:r>
      <w:r>
        <w:rPr>
          <w:rFonts w:ascii="黑体" w:hAnsi="宋体" w:eastAsia="黑体" w:cs="黑体"/>
          <w:sz w:val="32"/>
          <w:szCs w:val="32"/>
        </w:rPr>
        <w:t>2020年</w:t>
      </w:r>
      <w:r>
        <w:rPr>
          <w:rFonts w:hint="eastAsia" w:ascii="黑体" w:hAnsi="宋体" w:eastAsia="黑体" w:cs="黑体"/>
          <w:sz w:val="32"/>
          <w:szCs w:val="32"/>
        </w:rPr>
        <w:t>部门预算情况说明</w:t>
      </w:r>
    </w:p>
    <w:p>
      <w:pPr>
        <w:ind w:firstLine="900" w:firstLineChars="300"/>
        <w:rPr>
          <w:rFonts w:ascii="仿宋_GB2312" w:eastAsia="仿宋_GB2312" w:cs="Times New Roman"/>
          <w:sz w:val="30"/>
          <w:szCs w:val="30"/>
        </w:rPr>
      </w:pP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一、</w:t>
      </w:r>
      <w:r>
        <w:rPr>
          <w:rFonts w:ascii="仿宋_GB2312" w:hAnsi="宋体" w:eastAsia="仿宋_GB2312" w:cs="仿宋_GB2312"/>
          <w:sz w:val="30"/>
          <w:szCs w:val="30"/>
        </w:rPr>
        <w:t>2020年</w:t>
      </w:r>
      <w:r>
        <w:rPr>
          <w:rFonts w:hint="eastAsia" w:ascii="仿宋_GB2312" w:hAnsi="宋体" w:eastAsia="仿宋_GB2312" w:cs="仿宋_GB2312"/>
          <w:sz w:val="30"/>
          <w:szCs w:val="30"/>
        </w:rPr>
        <w:t>部门预算收支情况说明</w:t>
      </w:r>
    </w:p>
    <w:p>
      <w:pPr>
        <w:ind w:firstLine="900" w:firstLineChars="300"/>
        <w:rPr>
          <w:rFonts w:ascii="仿宋_GB2312" w:eastAsia="仿宋_GB2312" w:cs="Times New Roman"/>
          <w:sz w:val="30"/>
          <w:szCs w:val="30"/>
        </w:rPr>
      </w:pP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二、</w:t>
      </w:r>
      <w:r>
        <w:rPr>
          <w:rFonts w:ascii="仿宋_GB2312" w:hAnsi="宋体" w:eastAsia="仿宋_GB2312" w:cs="仿宋_GB2312"/>
          <w:sz w:val="30"/>
          <w:szCs w:val="30"/>
        </w:rPr>
        <w:t>2020年</w:t>
      </w:r>
      <w:r>
        <w:rPr>
          <w:rFonts w:hint="eastAsia" w:ascii="仿宋_GB2312" w:hAnsi="宋体" w:eastAsia="仿宋_GB2312" w:cs="仿宋_GB2312"/>
          <w:sz w:val="30"/>
          <w:szCs w:val="30"/>
        </w:rPr>
        <w:t>“三公”经费预算情况说明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市委组织部</w:t>
      </w:r>
      <w:r>
        <w:rPr>
          <w:rFonts w:ascii="黑体" w:hAnsi="宋体" w:eastAsia="黑体" w:cs="黑体"/>
          <w:sz w:val="32"/>
          <w:szCs w:val="32"/>
        </w:rPr>
        <w:t>2020年</w:t>
      </w:r>
      <w:r>
        <w:rPr>
          <w:rFonts w:hint="eastAsia" w:ascii="黑体" w:hAnsi="宋体" w:eastAsia="黑体" w:cs="黑体"/>
          <w:sz w:val="32"/>
          <w:szCs w:val="32"/>
        </w:rPr>
        <w:t>部门预算表</w:t>
      </w:r>
    </w:p>
    <w:p>
      <w:pPr>
        <w:ind w:firstLine="600" w:firstLineChars="200"/>
        <w:rPr>
          <w:rFonts w:ascii="仿宋_GB2312" w:eastAsia="仿宋_GB2312" w:cs="Times New Roman"/>
          <w:sz w:val="30"/>
          <w:szCs w:val="30"/>
        </w:rPr>
      </w:pPr>
      <w:r>
        <w:rPr>
          <w:rFonts w:ascii="仿宋_GB2312" w:hAnsi="宋体" w:eastAsia="仿宋_GB2312" w:cs="仿宋_GB2312"/>
          <w:sz w:val="30"/>
          <w:szCs w:val="30"/>
        </w:rPr>
        <w:t xml:space="preserve">    </w:t>
      </w:r>
      <w:r>
        <w:rPr>
          <w:rFonts w:hint="eastAsia" w:ascii="仿宋_GB2312" w:hAnsi="宋体" w:eastAsia="仿宋_GB2312" w:cs="仿宋_GB2312"/>
          <w:sz w:val="30"/>
          <w:szCs w:val="30"/>
        </w:rPr>
        <w:t>一、收支预算总表</w:t>
      </w:r>
    </w:p>
    <w:p>
      <w:pPr>
        <w:ind w:firstLine="1200" w:firstLineChars="400"/>
        <w:rPr>
          <w:rFonts w:ascii="仿宋_GB2312" w:eastAsia="仿宋_GB2312" w:cs="Times New Roman"/>
          <w:sz w:val="30"/>
          <w:szCs w:val="30"/>
        </w:rPr>
      </w:pPr>
      <w:r>
        <w:rPr>
          <w:rFonts w:hint="eastAsia" w:ascii="仿宋_GB2312" w:hAnsi="宋体" w:eastAsia="仿宋_GB2312" w:cs="仿宋_GB2312"/>
          <w:sz w:val="30"/>
          <w:szCs w:val="30"/>
        </w:rPr>
        <w:t>二、部门收入总表</w:t>
      </w:r>
    </w:p>
    <w:p>
      <w:pPr>
        <w:ind w:firstLine="1200" w:firstLineChars="400"/>
        <w:rPr>
          <w:rFonts w:ascii="仿宋_GB2312" w:eastAsia="仿宋_GB2312" w:cs="Times New Roman"/>
          <w:sz w:val="30"/>
          <w:szCs w:val="30"/>
        </w:rPr>
      </w:pPr>
      <w:r>
        <w:rPr>
          <w:rFonts w:hint="eastAsia" w:ascii="仿宋_GB2312" w:hAnsi="宋体" w:eastAsia="仿宋_GB2312" w:cs="仿宋_GB2312"/>
          <w:sz w:val="30"/>
          <w:szCs w:val="30"/>
        </w:rPr>
        <w:t>三、部门支出总表</w:t>
      </w:r>
    </w:p>
    <w:p>
      <w:pPr>
        <w:ind w:firstLine="1200" w:firstLineChars="400"/>
        <w:rPr>
          <w:rFonts w:ascii="仿宋_GB2312" w:eastAsia="仿宋_GB2312" w:cs="Times New Roman"/>
          <w:sz w:val="30"/>
          <w:szCs w:val="30"/>
        </w:rPr>
      </w:pPr>
      <w:r>
        <w:rPr>
          <w:rFonts w:hint="eastAsia" w:ascii="仿宋_GB2312" w:hAnsi="宋体" w:eastAsia="仿宋_GB2312" w:cs="仿宋_GB2312"/>
          <w:sz w:val="30"/>
          <w:szCs w:val="30"/>
        </w:rPr>
        <w:t>四、财政拨款收支总表</w:t>
      </w:r>
    </w:p>
    <w:p>
      <w:pPr>
        <w:ind w:firstLine="1200" w:firstLineChars="400"/>
        <w:rPr>
          <w:rFonts w:ascii="仿宋_GB2312" w:eastAsia="仿宋_GB2312" w:cs="Times New Roman"/>
          <w:sz w:val="30"/>
          <w:szCs w:val="30"/>
        </w:rPr>
      </w:pPr>
      <w:r>
        <w:rPr>
          <w:rFonts w:hint="eastAsia" w:ascii="仿宋_GB2312" w:hAnsi="宋体" w:eastAsia="仿宋_GB2312" w:cs="仿宋_GB2312"/>
          <w:sz w:val="30"/>
          <w:szCs w:val="30"/>
        </w:rPr>
        <w:t>五、一般公共预算支出表</w:t>
      </w:r>
    </w:p>
    <w:p>
      <w:pPr>
        <w:ind w:firstLine="1200" w:firstLineChars="400"/>
        <w:rPr>
          <w:rFonts w:ascii="仿宋_GB2312" w:eastAsia="仿宋_GB2312" w:cs="Times New Roman"/>
          <w:sz w:val="30"/>
          <w:szCs w:val="30"/>
        </w:rPr>
      </w:pPr>
      <w:r>
        <w:rPr>
          <w:rFonts w:hint="eastAsia" w:ascii="仿宋_GB2312" w:hAnsi="宋体" w:eastAsia="仿宋_GB2312" w:cs="仿宋_GB2312"/>
          <w:sz w:val="30"/>
          <w:szCs w:val="30"/>
        </w:rPr>
        <w:t>六、一般公共预算基本支出表</w:t>
      </w:r>
    </w:p>
    <w:p>
      <w:pPr>
        <w:ind w:firstLine="1200" w:firstLineChars="400"/>
        <w:rPr>
          <w:rFonts w:ascii="仿宋_GB2312" w:eastAsia="仿宋_GB2312" w:cs="Times New Roman"/>
          <w:sz w:val="30"/>
          <w:szCs w:val="30"/>
        </w:rPr>
      </w:pPr>
      <w:r>
        <w:rPr>
          <w:rFonts w:hint="eastAsia" w:ascii="仿宋_GB2312" w:hAnsi="宋体" w:eastAsia="仿宋_GB2312" w:cs="仿宋_GB2312"/>
          <w:sz w:val="30"/>
          <w:szCs w:val="30"/>
        </w:rPr>
        <w:t>七、一般公共预算“三公”经费支出表</w:t>
      </w:r>
    </w:p>
    <w:p>
      <w:pPr>
        <w:ind w:firstLine="1200" w:firstLineChars="400"/>
        <w:rPr>
          <w:rFonts w:ascii="仿宋_GB2312" w:eastAsia="仿宋_GB2312" w:cs="Times New Roman"/>
          <w:sz w:val="30"/>
          <w:szCs w:val="30"/>
        </w:rPr>
      </w:pPr>
      <w:r>
        <w:rPr>
          <w:rFonts w:hint="eastAsia" w:ascii="仿宋_GB2312" w:hAnsi="宋体" w:eastAsia="仿宋_GB2312" w:cs="仿宋_GB2312"/>
          <w:sz w:val="30"/>
          <w:szCs w:val="30"/>
        </w:rPr>
        <w:t>八、政府性基金预算支出表</w:t>
      </w:r>
    </w:p>
    <w:p>
      <w:pPr>
        <w:rPr>
          <w:rFonts w:ascii="仿宋_GB2312" w:eastAsia="仿宋_GB2312" w:cs="Times New Roman"/>
          <w:b/>
          <w:bCs/>
          <w:sz w:val="32"/>
          <w:szCs w:val="32"/>
        </w:rPr>
      </w:pPr>
      <w:r>
        <w:rPr>
          <w:rFonts w:ascii="仿宋_GB2312" w:hAnsi="宋体" w:eastAsia="仿宋_GB2312" w:cs="仿宋_GB2312"/>
          <w:sz w:val="30"/>
          <w:szCs w:val="30"/>
        </w:rPr>
        <w:t xml:space="preserve">  </w:t>
      </w: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cente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景德镇市委组织部概况</w:t>
      </w:r>
    </w:p>
    <w:p>
      <w:pPr>
        <w:ind w:firstLine="590" w:firstLineChars="196"/>
        <w:rPr>
          <w:rFonts w:ascii="仿宋_GB2312" w:hAnsi="宋体" w:eastAsia="仿宋_GB2312" w:cs="仿宋_GB2312"/>
          <w:b/>
          <w:bCs/>
          <w:sz w:val="30"/>
          <w:szCs w:val="30"/>
        </w:rPr>
      </w:pPr>
    </w:p>
    <w:p>
      <w:pPr>
        <w:ind w:firstLine="590" w:firstLineChars="196"/>
        <w:rPr>
          <w:rFonts w:ascii="仿宋_GB2312" w:eastAsia="仿宋_GB2312" w:cs="Times New Roman"/>
          <w:b/>
          <w:bCs/>
          <w:sz w:val="30"/>
          <w:szCs w:val="30"/>
        </w:rPr>
      </w:pPr>
      <w:r>
        <w:rPr>
          <w:rFonts w:hint="eastAsia" w:ascii="仿宋_GB2312" w:hAnsi="宋体" w:eastAsia="仿宋_GB2312" w:cs="仿宋_GB2312"/>
          <w:b/>
          <w:bCs/>
          <w:sz w:val="30"/>
          <w:szCs w:val="30"/>
        </w:rPr>
        <w:t>一、部门主要职责</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景德镇市委组织部是主管组织、干部、人才工作的市委组成部门，主要职责是：</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（一）研究和指导全市党组织特别是党的基层组织建设，探索各类新的经济组织中党组织的设置和活动方式；协调、规划和指导党员教育工作，管党员的管理和发展工作；组织新时期党的建设的理论研究。</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二）提出关于县（市、区）和市直单位以及其他列入市委管理的领导班子调整、配备的意见和建议；负责市委管理干部的考察和办理任免、工资、奖励、待遇、退（离）休审批手续以及有关问题的调查审理工作；对乡（镇）党委书记、乡（镇）长任免之前的任职资格、任免程序等进行审核；对乡（镇）党委书记、乡（镇）长的选拔、任用、培训、教育、管理等方面进行监督、检查和指导；指导县（市、区）和市直单位领导班子的思想作风建设；负责市委备案干部的备案审查和宏观管理工作；承办部分干部的调配、交流及安置事宜；协助做好中央、国家部委、省驻景企事业单位领导班子建设和干部管理的有关工作。</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（三）研究提出贯彻中央、省委关于干部队伍建设方针、政策的意见和措施，组织实施培养选拔后备干部、年轻干部、妇女干部、党外干部工作，做好选调优秀大学毕业生到基层锻炼工作。</w:t>
      </w:r>
      <w:r>
        <w:rPr>
          <w:rFonts w:ascii="仿宋_GB2312" w:hAnsi="宋体" w:eastAsia="仿宋_GB2312" w:cs="仿宋_GB2312"/>
          <w:sz w:val="30"/>
          <w:szCs w:val="30"/>
        </w:rPr>
        <w:t xml:space="preserve"> </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（四）从宏观上研究和指导全市党的组织制度和干部人事制度的改革订或参与制订组织、干部、人事工作的重要政策和制度。</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（五）负责全市组织工作和干部工作的督促检查，及时向市委反映重要情况，提出建议。</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（六）负责全市组织部门干部监督工作的综合、协调和宏观指导；按中央《党政领导干部选拔任用工作条例》，对选拔任用干部工作进行监督检查。</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七）主管全市干部教育工作。贯彻执行中央、省委干部教育的方针政策，制订全市干部教育工作规划，组织市委管理干部和一定层次的中、青年干部以及组织系统干部培训；指导、协调、检查县（市、区）和市直单位干部教育工作；研究和制定有关干部教育工作措施。</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八）负责全市人才工作的宏观指导。坚持党管人才原则，管宏观、管政策、管协调、管服务，统筹规划人才工作，形成党委统一领导，组织部门牵头抓总，有关部门各司其职，密切配合，社会力量广泛参与的人才工作新格局，推动人才工作健康发展。选拔和管理好一批专家、拔尖人才并组织开展有关活动。</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（九）负责全市老干部工作的宏观指导。</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（十）负责全市农村基层组织建设的规划指导、组织协调、督促检查和日常工作。</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（十一）指导全市实施国家公务员制度工作；负责党群、人大、政协机关参照《国家公务员暂行条例》管理工作；承办党群、人大、政协等参照管理机关工作人员的考试录用。</w:t>
      </w:r>
    </w:p>
    <w:p>
      <w:pPr>
        <w:pStyle w:val="6"/>
        <w:shd w:val="clear" w:color="auto" w:fill="FFFFFF"/>
        <w:spacing w:line="400" w:lineRule="exact"/>
        <w:ind w:firstLine="600" w:firstLineChars="200"/>
        <w:rPr>
          <w:rFonts w:ascii="仿宋_GB2312" w:eastAsia="仿宋_GB2312" w:cs="仿宋_GB2312"/>
          <w:kern w:val="2"/>
          <w:sz w:val="30"/>
          <w:szCs w:val="30"/>
        </w:rPr>
      </w:pPr>
      <w:r>
        <w:rPr>
          <w:rFonts w:hint="eastAsia" w:ascii="仿宋_GB2312" w:eastAsia="仿宋_GB2312" w:cs="仿宋_GB2312"/>
          <w:kern w:val="2"/>
          <w:sz w:val="30"/>
          <w:szCs w:val="30"/>
        </w:rPr>
        <w:t>（十二）负责军队副团职以上干部的安置工作。</w:t>
      </w:r>
    </w:p>
    <w:p>
      <w:pPr>
        <w:ind w:firstLine="588" w:firstLineChars="196"/>
        <w:rPr>
          <w:rFonts w:ascii="仿宋_GB2312" w:hAnsi="宋体" w:eastAsia="仿宋_GB2312" w:cs="仿宋_GB2312"/>
          <w:sz w:val="30"/>
          <w:szCs w:val="30"/>
        </w:rPr>
      </w:pPr>
      <w:r>
        <w:rPr>
          <w:rFonts w:hint="eastAsia" w:ascii="仿宋_GB2312" w:hAnsi="宋体" w:eastAsia="仿宋_GB2312" w:cs="仿宋_GB2312"/>
          <w:sz w:val="30"/>
          <w:szCs w:val="30"/>
        </w:rPr>
        <w:t>（十三）承办市委和省委组织部交办的其他事项。</w:t>
      </w:r>
    </w:p>
    <w:p>
      <w:pPr>
        <w:ind w:firstLine="590" w:firstLineChars="196"/>
        <w:rPr>
          <w:rFonts w:ascii="仿宋_GB2312" w:eastAsia="仿宋_GB2312" w:cs="Times New Roman"/>
          <w:b/>
          <w:bCs/>
          <w:sz w:val="30"/>
          <w:szCs w:val="30"/>
        </w:rPr>
      </w:pPr>
      <w:r>
        <w:rPr>
          <w:rFonts w:hint="eastAsia" w:ascii="仿宋_GB2312" w:hAnsi="宋体" w:eastAsia="仿宋_GB2312" w:cs="仿宋_GB2312"/>
          <w:b/>
          <w:bCs/>
          <w:sz w:val="30"/>
          <w:szCs w:val="30"/>
        </w:rPr>
        <w:t>二、部门基本情况</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本部门共有预算单位1个，即部门本级。编制数为50人，其中行政编制38人、参照公务员管理事业编制8人、全额补助事业编制4人。实有人数56人，其中在职48人，包括行政38人、参照公务员管理7人、全额补助3人；退休7人。</w:t>
      </w:r>
    </w:p>
    <w:p>
      <w:pPr>
        <w:ind w:firstLine="600" w:firstLineChars="200"/>
        <w:rPr>
          <w:rFonts w:ascii="仿宋_GB2312" w:hAnsi="宋体" w:eastAsia="仿宋_GB2312" w:cs="仿宋_GB2312"/>
          <w:sz w:val="30"/>
          <w:szCs w:val="30"/>
        </w:rPr>
      </w:pPr>
    </w:p>
    <w:p>
      <w:pPr>
        <w:jc w:val="center"/>
        <w:rPr>
          <w:rFonts w:ascii="黑体" w:hAnsi="宋体" w:eastAsia="黑体" w:cs="黑体"/>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市委组织部</w:t>
      </w:r>
      <w:r>
        <w:rPr>
          <w:rFonts w:ascii="黑体" w:hAnsi="宋体" w:eastAsia="黑体" w:cs="黑体"/>
          <w:sz w:val="32"/>
          <w:szCs w:val="32"/>
        </w:rPr>
        <w:t>2020年</w:t>
      </w:r>
      <w:r>
        <w:rPr>
          <w:rFonts w:hint="eastAsia" w:ascii="黑体" w:hAnsi="宋体" w:eastAsia="黑体" w:cs="黑体"/>
          <w:sz w:val="32"/>
          <w:szCs w:val="32"/>
        </w:rPr>
        <w:t>部门预算情况说明</w:t>
      </w:r>
    </w:p>
    <w:p>
      <w:pPr>
        <w:ind w:firstLine="602" w:firstLineChars="200"/>
        <w:rPr>
          <w:rFonts w:ascii="仿宋_GB2312" w:hAnsi="宋体" w:eastAsia="仿宋_GB2312" w:cs="仿宋_GB2312"/>
          <w:b/>
          <w:bCs/>
          <w:sz w:val="30"/>
          <w:szCs w:val="30"/>
        </w:rPr>
      </w:pPr>
    </w:p>
    <w:p>
      <w:pPr>
        <w:ind w:firstLine="602" w:firstLineChars="200"/>
        <w:rPr>
          <w:rFonts w:ascii="仿宋_GB2312" w:eastAsia="仿宋_GB2312" w:cs="Times New Roman"/>
          <w:b/>
          <w:bCs/>
          <w:sz w:val="30"/>
          <w:szCs w:val="30"/>
        </w:rPr>
      </w:pPr>
      <w:r>
        <w:rPr>
          <w:rFonts w:hint="eastAsia" w:ascii="仿宋_GB2312" w:hAnsi="宋体" w:eastAsia="仿宋_GB2312" w:cs="仿宋_GB2312"/>
          <w:b/>
          <w:bCs/>
          <w:sz w:val="30"/>
          <w:szCs w:val="30"/>
        </w:rPr>
        <w:t>一、</w:t>
      </w:r>
      <w:r>
        <w:rPr>
          <w:rFonts w:ascii="仿宋_GB2312" w:hAnsi="宋体" w:eastAsia="仿宋_GB2312" w:cs="仿宋_GB2312"/>
          <w:b/>
          <w:bCs/>
          <w:sz w:val="30"/>
          <w:szCs w:val="30"/>
        </w:rPr>
        <w:t>2020年</w:t>
      </w:r>
      <w:r>
        <w:rPr>
          <w:rFonts w:hint="eastAsia" w:ascii="仿宋_GB2312" w:hAnsi="宋体" w:eastAsia="仿宋_GB2312" w:cs="仿宋_GB2312"/>
          <w:b/>
          <w:bCs/>
          <w:sz w:val="30"/>
          <w:szCs w:val="30"/>
        </w:rPr>
        <w:t>部门预算收支情况说明</w:t>
      </w:r>
    </w:p>
    <w:p>
      <w:pPr>
        <w:ind w:firstLine="452" w:firstLineChars="150"/>
        <w:rPr>
          <w:rFonts w:ascii="仿宋_GB2312" w:eastAsia="仿宋_GB2312" w:cs="Times New Roman"/>
          <w:b/>
          <w:bCs/>
          <w:sz w:val="30"/>
          <w:szCs w:val="30"/>
        </w:rPr>
      </w:pPr>
      <w:r>
        <w:rPr>
          <w:rFonts w:hint="eastAsia" w:ascii="仿宋_GB2312" w:hAnsi="宋体" w:eastAsia="仿宋_GB2312" w:cs="仿宋_GB2312"/>
          <w:b/>
          <w:bCs/>
          <w:sz w:val="30"/>
          <w:szCs w:val="30"/>
        </w:rPr>
        <w:t>（一）预算收入情况</w:t>
      </w:r>
    </w:p>
    <w:p>
      <w:pPr>
        <w:ind w:firstLine="600"/>
        <w:rPr>
          <w:rFonts w:ascii="仿宋_GB2312" w:eastAsia="仿宋_GB2312" w:cs="Times New Roman"/>
          <w:sz w:val="30"/>
          <w:szCs w:val="30"/>
        </w:rPr>
      </w:pPr>
      <w:r>
        <w:rPr>
          <w:rFonts w:ascii="仿宋_GB2312" w:hAnsi="宋体" w:eastAsia="仿宋_GB2312" w:cs="仿宋_GB2312"/>
          <w:sz w:val="30"/>
          <w:szCs w:val="30"/>
        </w:rPr>
        <w:t>2020年</w:t>
      </w:r>
      <w:r>
        <w:rPr>
          <w:rFonts w:hint="eastAsia" w:ascii="仿宋_GB2312" w:hAnsi="宋体" w:eastAsia="仿宋_GB2312" w:cs="仿宋_GB2312"/>
          <w:sz w:val="30"/>
          <w:szCs w:val="30"/>
        </w:rPr>
        <w:t>市委组织部收入预算总额为1098.52万元，与上年预算相比增加</w:t>
      </w:r>
      <w:r>
        <w:rPr>
          <w:rFonts w:ascii="仿宋_GB2312" w:hAnsi="宋体" w:eastAsia="仿宋_GB2312" w:cs="仿宋_GB2312"/>
          <w:sz w:val="30"/>
          <w:szCs w:val="30"/>
        </w:rPr>
        <w:t>1</w:t>
      </w:r>
      <w:r>
        <w:rPr>
          <w:rFonts w:hint="eastAsia" w:ascii="仿宋_GB2312" w:hAnsi="宋体" w:eastAsia="仿宋_GB2312" w:cs="仿宋_GB2312"/>
          <w:sz w:val="30"/>
          <w:szCs w:val="30"/>
        </w:rPr>
        <w:t>03.18万，上涨10.3</w:t>
      </w:r>
      <w:r>
        <w:rPr>
          <w:rFonts w:ascii="仿宋_GB2312" w:hAnsi="宋体" w:eastAsia="仿宋_GB2312" w:cs="仿宋_GB2312"/>
          <w:sz w:val="30"/>
          <w:szCs w:val="30"/>
        </w:rPr>
        <w:t>%</w:t>
      </w:r>
      <w:r>
        <w:rPr>
          <w:rFonts w:hint="eastAsia" w:ascii="仿宋_GB2312" w:hAnsi="宋体" w:eastAsia="仿宋_GB2312" w:cs="仿宋_GB2312"/>
          <w:sz w:val="30"/>
          <w:szCs w:val="30"/>
        </w:rPr>
        <w:t>，主要原因：人员工资调整及社保缴费基数调整。其中：当年公共财政拨款收入1098.52万元，占收入预算总额的100</w:t>
      </w:r>
      <w:r>
        <w:rPr>
          <w:rFonts w:ascii="仿宋_GB2312" w:hAnsi="宋体" w:eastAsia="仿宋_GB2312" w:cs="仿宋_GB2312"/>
          <w:sz w:val="30"/>
          <w:szCs w:val="30"/>
        </w:rPr>
        <w:t>%</w:t>
      </w:r>
      <w:r>
        <w:rPr>
          <w:rFonts w:hint="eastAsia" w:ascii="仿宋_GB2312" w:hAnsi="宋体" w:eastAsia="仿宋_GB2312" w:cs="仿宋_GB2312"/>
          <w:sz w:val="30"/>
          <w:szCs w:val="30"/>
        </w:rPr>
        <w:t>。</w:t>
      </w:r>
    </w:p>
    <w:p>
      <w:pPr>
        <w:ind w:firstLine="452" w:firstLineChars="150"/>
        <w:rPr>
          <w:rFonts w:ascii="仿宋_GB2312" w:eastAsia="仿宋_GB2312" w:cs="Times New Roman"/>
          <w:b/>
          <w:bCs/>
          <w:sz w:val="30"/>
          <w:szCs w:val="30"/>
        </w:rPr>
      </w:pPr>
      <w:r>
        <w:rPr>
          <w:rFonts w:hint="eastAsia" w:ascii="仿宋_GB2312" w:hAnsi="宋体" w:eastAsia="仿宋_GB2312" w:cs="仿宋_GB2312"/>
          <w:b/>
          <w:bCs/>
          <w:sz w:val="30"/>
          <w:szCs w:val="30"/>
        </w:rPr>
        <w:t>（二）预算支出情况</w:t>
      </w:r>
    </w:p>
    <w:p>
      <w:pPr>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按支出项目类别划分:</w:t>
      </w:r>
    </w:p>
    <w:p>
      <w:pPr>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基本支出794.52万元，占支出预算总额的72.33%，其中:工资福利支出687.24万元，商品和服务支出106.00万元，对个人和家庭的补助1.28万元。</w:t>
      </w:r>
    </w:p>
    <w:p>
      <w:pPr>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项目支出304.00万元，占支出预算总额的27.67%。</w:t>
      </w:r>
    </w:p>
    <w:p>
      <w:pPr>
        <w:ind w:firstLine="700" w:firstLineChars="250"/>
        <w:rPr>
          <w:rFonts w:ascii="仿宋_GB2312" w:hAnsi="仿宋_GB2312" w:eastAsia="仿宋_GB2312" w:cs="仿宋_GB2312"/>
          <w:sz w:val="28"/>
          <w:szCs w:val="28"/>
        </w:rPr>
      </w:pPr>
      <w:r>
        <w:rPr>
          <w:rFonts w:ascii="仿宋_GB2312" w:hAnsi="仿宋_GB2312" w:eastAsia="仿宋_GB2312" w:cs="仿宋_GB2312"/>
          <w:sz w:val="28"/>
          <w:szCs w:val="28"/>
        </w:rPr>
        <w:t>2020年</w:t>
      </w:r>
      <w:r>
        <w:rPr>
          <w:rFonts w:hint="eastAsia" w:ascii="仿宋_GB2312" w:hAnsi="仿宋_GB2312" w:eastAsia="仿宋_GB2312" w:cs="仿宋_GB2312"/>
          <w:sz w:val="28"/>
          <w:szCs w:val="28"/>
        </w:rPr>
        <w:t>市委组织部支出预算总额为1098.52万元，</w:t>
      </w:r>
      <w:r>
        <w:rPr>
          <w:rFonts w:hint="eastAsia" w:ascii="仿宋_GB2312" w:hAnsi="宋体" w:eastAsia="仿宋_GB2312" w:cs="仿宋_GB2312"/>
          <w:sz w:val="30"/>
          <w:szCs w:val="30"/>
        </w:rPr>
        <w:t>与上年预算相比增加</w:t>
      </w:r>
      <w:r>
        <w:rPr>
          <w:rFonts w:ascii="仿宋_GB2312" w:hAnsi="宋体" w:eastAsia="仿宋_GB2312" w:cs="仿宋_GB2312"/>
          <w:sz w:val="30"/>
          <w:szCs w:val="30"/>
        </w:rPr>
        <w:t>1</w:t>
      </w:r>
      <w:r>
        <w:rPr>
          <w:rFonts w:hint="eastAsia" w:ascii="仿宋_GB2312" w:hAnsi="宋体" w:eastAsia="仿宋_GB2312" w:cs="仿宋_GB2312"/>
          <w:sz w:val="30"/>
          <w:szCs w:val="30"/>
        </w:rPr>
        <w:t>03.18万，上涨10.3</w:t>
      </w:r>
      <w:r>
        <w:rPr>
          <w:rFonts w:ascii="仿宋_GB2312" w:hAnsi="宋体" w:eastAsia="仿宋_GB2312" w:cs="仿宋_GB2312"/>
          <w:sz w:val="30"/>
          <w:szCs w:val="30"/>
        </w:rPr>
        <w:t>%</w:t>
      </w:r>
      <w:r>
        <w:rPr>
          <w:rFonts w:hint="eastAsia" w:ascii="仿宋_GB2312" w:hAnsi="宋体" w:eastAsia="仿宋_GB2312" w:cs="仿宋_GB2312"/>
          <w:sz w:val="30"/>
          <w:szCs w:val="30"/>
        </w:rPr>
        <w:t>，主要原因：人员工资调整及社保缴费基数调整。</w:t>
      </w:r>
      <w:r>
        <w:rPr>
          <w:rFonts w:hint="eastAsia" w:ascii="仿宋_GB2312" w:hAnsi="仿宋_GB2312" w:eastAsia="仿宋_GB2312" w:cs="仿宋_GB2312"/>
          <w:sz w:val="28"/>
          <w:szCs w:val="28"/>
        </w:rPr>
        <w:t>其中：按支出项目类别划分：</w:t>
      </w:r>
    </w:p>
    <w:p>
      <w:pPr>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基本支出794.52万元，占支出预算总额的72.33%，包括工资福利支出687.24万元、商品和服务支出106.00万元、对个人和家庭的补助1.28万元；</w:t>
      </w:r>
    </w:p>
    <w:p>
      <w:pPr>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项目支出304万元，占支出预算总额的27.67%。包括办公经费226万元、商品和服务支出78万元；</w:t>
      </w:r>
    </w:p>
    <w:p>
      <w:pPr>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支出功能项目科目划分：一般公共服务支出967.64万元，占支出预算总额的88.08%；社会保障和就业支出54.71万元，占支出预算总额的4.98%；卫生健康支出37.06万元，占支出预算总额的3.37%；住房保障支出39.11万元，占支出预算总额的3.56%；</w:t>
      </w:r>
    </w:p>
    <w:p>
      <w:pPr>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按支出经济分类划分：工资福利支出687.24万元，占支出预算总额的62.56%；商品和服务支出106万元，占支出预算总额的9.64%；对个人和家庭的补助支出1.28万元，占支出预算总额的0.11%；项目支出304万元，占支出预算总额的27.67%；</w:t>
      </w:r>
    </w:p>
    <w:p>
      <w:pPr>
        <w:ind w:firstLine="602" w:firstLineChars="200"/>
        <w:rPr>
          <w:rFonts w:ascii="仿宋_GB2312" w:eastAsia="仿宋_GB2312" w:cs="Times New Roman"/>
          <w:sz w:val="30"/>
          <w:szCs w:val="30"/>
        </w:rPr>
      </w:pPr>
      <w:r>
        <w:rPr>
          <w:rFonts w:hint="eastAsia" w:ascii="仿宋_GB2312" w:hAnsi="宋体" w:eastAsia="仿宋_GB2312" w:cs="仿宋_GB2312"/>
          <w:b/>
          <w:bCs/>
          <w:sz w:val="30"/>
          <w:szCs w:val="30"/>
        </w:rPr>
        <w:t>（三）财政拨款支出情况</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2020年市委组织部公共财政拨款支出预算为1098.52万元，占支出预算总额的100.00%，（</w:t>
      </w:r>
      <w:r>
        <w:rPr>
          <w:rFonts w:hint="eastAsia" w:ascii="仿宋_GB2312" w:hAnsi="宋体" w:eastAsia="仿宋_GB2312" w:cs="仿宋_GB2312"/>
          <w:sz w:val="30"/>
          <w:szCs w:val="30"/>
        </w:rPr>
        <w:t>与上年预算相比增加</w:t>
      </w:r>
      <w:r>
        <w:rPr>
          <w:rFonts w:ascii="仿宋_GB2312" w:hAnsi="宋体" w:eastAsia="仿宋_GB2312" w:cs="仿宋_GB2312"/>
          <w:sz w:val="30"/>
          <w:szCs w:val="30"/>
        </w:rPr>
        <w:t>1</w:t>
      </w:r>
      <w:r>
        <w:rPr>
          <w:rFonts w:hint="eastAsia" w:ascii="仿宋_GB2312" w:hAnsi="宋体" w:eastAsia="仿宋_GB2312" w:cs="仿宋_GB2312"/>
          <w:sz w:val="30"/>
          <w:szCs w:val="30"/>
        </w:rPr>
        <w:t>03.18万，上涨10.3</w:t>
      </w:r>
      <w:r>
        <w:rPr>
          <w:rFonts w:ascii="仿宋_GB2312" w:hAnsi="宋体" w:eastAsia="仿宋_GB2312" w:cs="仿宋_GB2312"/>
          <w:sz w:val="30"/>
          <w:szCs w:val="30"/>
        </w:rPr>
        <w:t>%</w:t>
      </w:r>
      <w:r>
        <w:rPr>
          <w:rFonts w:hint="eastAsia" w:ascii="仿宋_GB2312" w:hAnsi="宋体" w:eastAsia="仿宋_GB2312" w:cs="仿宋_GB2312"/>
          <w:sz w:val="30"/>
          <w:szCs w:val="30"/>
        </w:rPr>
        <w:t>，主要原因：人员工资调整及社保缴费基数调整。</w:t>
      </w:r>
      <w:r>
        <w:rPr>
          <w:rFonts w:hint="eastAsia" w:ascii="仿宋_GB2312" w:hAnsi="仿宋_GB2312" w:eastAsia="仿宋_GB2312" w:cs="仿宋_GB2312"/>
          <w:sz w:val="30"/>
          <w:szCs w:val="30"/>
        </w:rPr>
        <w:t>具体支出情况是：行政运行支出663.64万元，占财政拨款支出的60.4%；其他组织事务支出304万元，占财政拨款支出27.7%；机关事业单位基本养老保险缴费支出 54.71万元，占支出预算总额的 5%；卫生健康支出 37.06万元，占财政拨款支出3.3%；住房保障支出 39.11万元，占支出预算总额的 3.6%。</w:t>
      </w:r>
    </w:p>
    <w:p>
      <w:pPr>
        <w:ind w:firstLine="602" w:firstLineChars="200"/>
        <w:rPr>
          <w:rFonts w:ascii="仿宋_GB2312" w:eastAsia="仿宋_GB2312" w:cs="Times New Roman"/>
          <w:b/>
          <w:bCs/>
          <w:sz w:val="30"/>
          <w:szCs w:val="30"/>
        </w:rPr>
      </w:pPr>
      <w:r>
        <w:rPr>
          <w:rFonts w:hint="eastAsia" w:ascii="仿宋_GB2312" w:hAnsi="宋体" w:eastAsia="仿宋_GB2312" w:cs="仿宋_GB2312"/>
          <w:b/>
          <w:bCs/>
          <w:sz w:val="30"/>
          <w:szCs w:val="30"/>
        </w:rPr>
        <w:t>（四）政府采购预算情况</w:t>
      </w:r>
    </w:p>
    <w:p>
      <w:pPr>
        <w:ind w:firstLine="750" w:firstLineChars="250"/>
        <w:rPr>
          <w:rFonts w:ascii="仿宋_GB2312" w:hAnsi="仿宋_GB2312" w:eastAsia="仿宋_GB2312" w:cs="仿宋_GB2312"/>
          <w:sz w:val="30"/>
          <w:szCs w:val="30"/>
        </w:rPr>
      </w:pPr>
      <w:r>
        <w:rPr>
          <w:rFonts w:hint="eastAsia" w:ascii="仿宋_GB2312" w:hAnsi="仿宋_GB2312" w:eastAsia="仿宋_GB2312" w:cs="仿宋_GB2312"/>
          <w:sz w:val="30"/>
          <w:szCs w:val="30"/>
        </w:rPr>
        <w:t>2020年政府采购预算为82.00万元，其中:部门集中采购82.00万元，与上年预算对比增加5万元，主要原因：</w:t>
      </w:r>
      <w:r>
        <w:rPr>
          <w:rFonts w:ascii="仿宋_GB2312" w:hAnsi="仿宋_GB2312" w:eastAsia="仿宋_GB2312" w:cs="仿宋_GB2312"/>
          <w:sz w:val="30"/>
          <w:szCs w:val="30"/>
        </w:rPr>
        <w:t>2020年</w:t>
      </w:r>
      <w:r>
        <w:rPr>
          <w:rFonts w:hint="eastAsia" w:ascii="仿宋_GB2312" w:hAnsi="仿宋_GB2312" w:eastAsia="仿宋_GB2312" w:cs="仿宋_GB2312"/>
          <w:sz w:val="30"/>
          <w:szCs w:val="30"/>
        </w:rPr>
        <w:t>办公室搬迁需要采购办公家具。</w:t>
      </w:r>
    </w:p>
    <w:p>
      <w:pPr>
        <w:tabs>
          <w:tab w:val="left" w:pos="1162"/>
        </w:tabs>
        <w:ind w:left="420" w:leftChars="200"/>
        <w:rPr>
          <w:rFonts w:ascii="仿宋_GB2312" w:eastAsia="仿宋_GB2312" w:cs="Times New Roman"/>
          <w:b/>
          <w:bCs/>
          <w:sz w:val="30"/>
          <w:szCs w:val="30"/>
        </w:rPr>
      </w:pPr>
      <w:r>
        <w:rPr>
          <w:rFonts w:hint="eastAsia" w:ascii="仿宋_GB2312" w:hAnsi="宋体" w:eastAsia="仿宋_GB2312" w:cs="仿宋_GB2312"/>
          <w:b/>
          <w:bCs/>
          <w:sz w:val="30"/>
          <w:szCs w:val="30"/>
        </w:rPr>
        <w:t xml:space="preserve"> （五）政府基金收支情况</w:t>
      </w:r>
    </w:p>
    <w:p>
      <w:pPr>
        <w:ind w:firstLine="750" w:firstLineChars="250"/>
        <w:rPr>
          <w:rFonts w:ascii="仿宋_GB2312" w:hAnsi="仿宋_GB2312" w:eastAsia="仿宋_GB2312" w:cs="仿宋_GB2312"/>
          <w:sz w:val="30"/>
          <w:szCs w:val="30"/>
        </w:rPr>
      </w:pPr>
      <w:r>
        <w:rPr>
          <w:rFonts w:hint="eastAsia" w:ascii="仿宋_GB2312" w:hAnsi="仿宋_GB2312" w:eastAsia="仿宋_GB2312" w:cs="仿宋_GB2312"/>
          <w:sz w:val="30"/>
          <w:szCs w:val="30"/>
        </w:rPr>
        <w:t>无政府基金收支。</w:t>
      </w:r>
    </w:p>
    <w:p>
      <w:pPr>
        <w:tabs>
          <w:tab w:val="left" w:pos="1113"/>
        </w:tabs>
        <w:ind w:firstLine="602" w:firstLineChars="200"/>
        <w:rPr>
          <w:rFonts w:ascii="仿宋_GB2312" w:hAnsi="宋体" w:eastAsia="仿宋_GB2312" w:cs="仿宋_GB2312"/>
          <w:sz w:val="30"/>
          <w:szCs w:val="30"/>
        </w:rPr>
      </w:pPr>
      <w:r>
        <w:rPr>
          <w:rFonts w:hint="eastAsia" w:ascii="仿宋_GB2312" w:hAnsi="宋体" w:eastAsia="仿宋_GB2312" w:cs="仿宋_GB2312"/>
          <w:b/>
          <w:bCs/>
          <w:sz w:val="30"/>
          <w:szCs w:val="30"/>
        </w:rPr>
        <w:t>（六）</w:t>
      </w:r>
      <w:r>
        <w:rPr>
          <w:rFonts w:ascii="仿宋_GB2312" w:hAnsi="宋体" w:eastAsia="仿宋_GB2312" w:cs="仿宋_GB2312"/>
          <w:b/>
          <w:bCs/>
          <w:sz w:val="30"/>
          <w:szCs w:val="30"/>
        </w:rPr>
        <w:t>2020年</w:t>
      </w:r>
      <w:r>
        <w:rPr>
          <w:rFonts w:hint="eastAsia" w:ascii="仿宋_GB2312" w:hAnsi="宋体" w:eastAsia="仿宋_GB2312" w:cs="仿宋_GB2312"/>
          <w:b/>
          <w:bCs/>
          <w:sz w:val="30"/>
          <w:szCs w:val="30"/>
        </w:rPr>
        <w:t>“三公”经费预算情况说明</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2020年安排“三公”经费支出预算17.59万元，与上年预算对比减少19万元。其中：</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1、因公出国(境)费用9.00万元，与上年持平；</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2、公务接待费6.00万元，比上年减少1万元，主要原因：公务接待减少；</w:t>
      </w:r>
    </w:p>
    <w:p>
      <w:pPr>
        <w:ind w:firstLine="600" w:firstLineChars="200"/>
        <w:rPr>
          <w:rFonts w:ascii="仿宋_GB2312" w:hAnsi="宋体" w:eastAsia="仿宋_GB2312" w:cs="仿宋_GB2312"/>
          <w:sz w:val="30"/>
          <w:szCs w:val="30"/>
        </w:rPr>
      </w:pPr>
      <w:r>
        <w:rPr>
          <w:rFonts w:hint="eastAsia" w:ascii="仿宋_GB2312" w:hAnsi="宋体" w:eastAsia="仿宋_GB2312" w:cs="仿宋_GB2312"/>
          <w:sz w:val="30"/>
          <w:szCs w:val="30"/>
        </w:rPr>
        <w:t>3、公务用车购置及运行费2.59万元，比上年减少18万元，主要原因：2019年购置（更新）一辆公务用车。</w:t>
      </w:r>
    </w:p>
    <w:p>
      <w:pPr>
        <w:jc w:val="center"/>
        <w:rPr>
          <w:rFonts w:ascii="黑体" w:hAnsi="宋体" w:eastAsia="黑体" w:cs="黑体"/>
          <w:sz w:val="30"/>
          <w:szCs w:val="30"/>
        </w:rPr>
      </w:pPr>
    </w:p>
    <w:p>
      <w:pPr>
        <w:jc w:val="center"/>
        <w:rPr>
          <w:rFonts w:ascii="黑体" w:hAnsi="宋体" w:eastAsia="黑体" w:cs="黑体"/>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景德镇市委组织部</w:t>
      </w:r>
      <w:r>
        <w:rPr>
          <w:rFonts w:ascii="黑体" w:hAnsi="宋体" w:eastAsia="黑体" w:cs="黑体"/>
          <w:sz w:val="32"/>
          <w:szCs w:val="32"/>
        </w:rPr>
        <w:t>2020年</w:t>
      </w:r>
      <w:r>
        <w:rPr>
          <w:rFonts w:hint="eastAsia" w:ascii="黑体" w:hAnsi="宋体" w:eastAsia="黑体" w:cs="黑体"/>
          <w:sz w:val="32"/>
          <w:szCs w:val="32"/>
        </w:rPr>
        <w:t>部门预算表</w:t>
      </w:r>
    </w:p>
    <w:p>
      <w:pPr>
        <w:jc w:val="center"/>
        <w:rPr>
          <w:rFonts w:ascii="黑体" w:eastAsia="黑体" w:cs="Times New Roman"/>
          <w:sz w:val="30"/>
          <w:szCs w:val="30"/>
        </w:rPr>
      </w:pPr>
    </w:p>
    <w:p>
      <w:pPr>
        <w:rPr>
          <w:rFonts w:ascii="仿宋_GB2312" w:hAnsi="宋体" w:eastAsia="仿宋_GB2312" w:cs="仿宋_GB2312"/>
          <w:sz w:val="30"/>
          <w:szCs w:val="30"/>
        </w:rPr>
      </w:pPr>
      <w:r>
        <w:rPr>
          <w:rFonts w:hint="eastAsia" w:ascii="仿宋_GB2312" w:hAnsi="宋体" w:eastAsia="仿宋_GB2312" w:cs="仿宋_GB2312"/>
          <w:sz w:val="30"/>
          <w:szCs w:val="30"/>
        </w:rPr>
        <w:t>（详见附表）</w:t>
      </w:r>
    </w:p>
    <w:p>
      <w:pPr>
        <w:jc w:val="center"/>
        <w:rPr>
          <w:rFonts w:ascii="黑体" w:hAnsi="宋体" w:eastAsia="黑体" w:cs="黑体"/>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仿宋_GB2312" w:eastAsia="仿宋_GB2312" w:cs="Times New Roman"/>
          <w:b/>
          <w:bCs/>
          <w:sz w:val="30"/>
          <w:szCs w:val="30"/>
        </w:rPr>
      </w:pPr>
    </w:p>
    <w:p>
      <w:pPr>
        <w:rPr>
          <w:rFonts w:hint="eastAsia" w:ascii="仿宋_GB2312" w:eastAsia="仿宋_GB2312"/>
          <w:sz w:val="32"/>
          <w:szCs w:val="32"/>
        </w:rPr>
      </w:pPr>
      <w:r>
        <w:rPr>
          <w:rFonts w:hint="eastAsia" w:ascii="仿宋_GB2312" w:eastAsia="仿宋_GB2312"/>
          <w:sz w:val="32"/>
          <w:szCs w:val="32"/>
        </w:rPr>
        <w:t>一、收入科目</w:t>
      </w:r>
    </w:p>
    <w:p>
      <w:pPr>
        <w:rPr>
          <w:rFonts w:hint="eastAsia" w:ascii="仿宋_GB2312" w:eastAsia="仿宋_GB2312"/>
          <w:sz w:val="32"/>
          <w:szCs w:val="32"/>
        </w:rPr>
      </w:pPr>
      <w:r>
        <w:rPr>
          <w:rFonts w:hint="eastAsia" w:ascii="仿宋_GB2312" w:eastAsia="仿宋_GB2312"/>
          <w:sz w:val="32"/>
          <w:szCs w:val="32"/>
        </w:rPr>
        <w:t>（一）财政拨款：指市级财政当年拨付的资金。</w:t>
      </w:r>
    </w:p>
    <w:p>
      <w:pPr>
        <w:rPr>
          <w:rFonts w:hint="eastAsia" w:ascii="仿宋_GB2312" w:eastAsia="仿宋_GB2312"/>
          <w:sz w:val="32"/>
          <w:szCs w:val="32"/>
        </w:rPr>
      </w:pPr>
      <w:r>
        <w:rPr>
          <w:rFonts w:hint="eastAsia" w:ascii="仿宋_GB2312" w:eastAsia="仿宋_GB2312"/>
          <w:sz w:val="32"/>
          <w:szCs w:val="32"/>
        </w:rPr>
        <w:t>（二）其他收入：指除财政拨款、事业收入、事业单位经营收入等以外的各项收入。</w:t>
      </w:r>
    </w:p>
    <w:p>
      <w:pPr>
        <w:rPr>
          <w:rFonts w:hint="eastAsia" w:ascii="仿宋_GB2312" w:eastAsia="仿宋_GB2312"/>
          <w:sz w:val="32"/>
          <w:szCs w:val="32"/>
        </w:rPr>
      </w:pPr>
      <w:r>
        <w:rPr>
          <w:rFonts w:hint="eastAsia" w:ascii="仿宋_GB2312" w:eastAsia="仿宋_GB2312"/>
          <w:sz w:val="32"/>
          <w:szCs w:val="32"/>
        </w:rPr>
        <w:t>（三）上年结转和结余：填列2019年全部结转和结余的资金数，包括当年结转结余资金和历年滚存结转结余资金。</w:t>
      </w:r>
    </w:p>
    <w:p>
      <w:pPr>
        <w:rPr>
          <w:rFonts w:hint="eastAsia" w:ascii="仿宋_GB2312" w:eastAsia="仿宋_GB2312"/>
          <w:sz w:val="32"/>
          <w:szCs w:val="32"/>
        </w:rPr>
      </w:pPr>
      <w:r>
        <w:rPr>
          <w:rFonts w:hint="eastAsia" w:ascii="仿宋_GB2312" w:eastAsia="仿宋_GB2312"/>
          <w:sz w:val="32"/>
          <w:szCs w:val="32"/>
        </w:rPr>
        <w:t>二、支出科目</w:t>
      </w:r>
    </w:p>
    <w:p>
      <w:pPr>
        <w:rPr>
          <w:rFonts w:hint="eastAsia" w:ascii="仿宋" w:hAnsi="仿宋" w:eastAsia="仿宋"/>
          <w:sz w:val="30"/>
          <w:szCs w:val="30"/>
        </w:rPr>
      </w:pPr>
      <w:r>
        <w:rPr>
          <w:rFonts w:hint="eastAsia" w:ascii="仿宋" w:hAnsi="仿宋" w:eastAsia="仿宋"/>
          <w:sz w:val="30"/>
          <w:szCs w:val="30"/>
        </w:rPr>
        <w:t>1、</w:t>
      </w:r>
      <w:r>
        <w:rPr>
          <w:rFonts w:hint="eastAsia" w:ascii="仿宋_GB2312" w:eastAsia="仿宋_GB2312"/>
          <w:sz w:val="32"/>
          <w:szCs w:val="32"/>
        </w:rPr>
        <w:t>一般公共服务（类）组织事务（款）行政运行（项）:指组织部用于保障机构正常运行、开展日常工作的基本支出。</w:t>
      </w:r>
    </w:p>
    <w:p>
      <w:pPr>
        <w:spacing w:line="580" w:lineRule="exact"/>
        <w:rPr>
          <w:rFonts w:hint="eastAsia" w:ascii="仿宋_GB2312" w:eastAsia="仿宋_GB2312"/>
          <w:sz w:val="32"/>
          <w:szCs w:val="32"/>
        </w:rPr>
      </w:pPr>
      <w:r>
        <w:rPr>
          <w:rFonts w:hint="eastAsia" w:ascii="仿宋_GB2312" w:eastAsia="仿宋_GB2312"/>
          <w:sz w:val="32"/>
          <w:szCs w:val="32"/>
        </w:rPr>
        <w:t>2、一般公共服务（类）组织事务（款）一般行政管理事务（项）:指组织部用于开展人才开发、干部培训、基层党建、老党员生活补助等专项工作的支出。</w:t>
      </w:r>
    </w:p>
    <w:p>
      <w:pPr>
        <w:spacing w:line="580" w:lineRule="exact"/>
        <w:rPr>
          <w:rFonts w:hint="eastAsia" w:ascii="仿宋_GB2312" w:eastAsia="仿宋_GB2312"/>
          <w:sz w:val="32"/>
          <w:szCs w:val="32"/>
        </w:rPr>
      </w:pPr>
      <w:r>
        <w:rPr>
          <w:rFonts w:hint="eastAsia" w:ascii="仿宋_GB2312" w:eastAsia="仿宋_GB2312"/>
          <w:sz w:val="32"/>
          <w:szCs w:val="32"/>
        </w:rPr>
        <w:t>3、一般公共服务（类）组织事务（款）事业运行（项）:指组织部下属事业单位用于保障机构正常运行、开展日常工作的基本支出。</w:t>
      </w:r>
    </w:p>
    <w:p>
      <w:pPr>
        <w:spacing w:line="580" w:lineRule="exact"/>
        <w:rPr>
          <w:rFonts w:hint="eastAsia"/>
        </w:rPr>
      </w:pPr>
      <w:r>
        <w:rPr>
          <w:rFonts w:hint="eastAsia" w:ascii="仿宋_GB2312" w:eastAsia="仿宋_GB2312"/>
          <w:sz w:val="32"/>
          <w:szCs w:val="32"/>
        </w:rPr>
        <w:t>4、一般公共服务（类）组织事务（款）其他组织事务支出（项）：指组织部用于代转拨扶贫工作支出。</w:t>
      </w:r>
    </w:p>
    <w:p>
      <w:pPr>
        <w:spacing w:line="580" w:lineRule="exact"/>
        <w:rPr>
          <w:rFonts w:hint="eastAsia" w:ascii="仿宋_GB2312" w:eastAsia="仿宋_GB2312"/>
          <w:sz w:val="32"/>
          <w:szCs w:val="32"/>
        </w:rPr>
      </w:pPr>
      <w:r>
        <w:rPr>
          <w:rFonts w:hint="eastAsia" w:ascii="仿宋_GB2312" w:eastAsia="仿宋_GB2312"/>
          <w:sz w:val="32"/>
          <w:szCs w:val="32"/>
        </w:rPr>
        <w:t>5、社会保障和就业（类）行政事业单位离退休（款）归口管理的行政单位离退休（项）:指组织部用于离退休人员补助和开展活动的支出。</w:t>
      </w:r>
    </w:p>
    <w:p>
      <w:pPr>
        <w:spacing w:line="580" w:lineRule="exact"/>
        <w:rPr>
          <w:rFonts w:hint="eastAsia" w:ascii="仿宋_GB2312" w:eastAsia="仿宋_GB2312"/>
          <w:sz w:val="32"/>
          <w:szCs w:val="32"/>
        </w:rPr>
      </w:pPr>
      <w:r>
        <w:rPr>
          <w:rFonts w:hint="eastAsia" w:ascii="仿宋_GB2312" w:eastAsia="仿宋_GB2312"/>
          <w:sz w:val="32"/>
          <w:szCs w:val="32"/>
        </w:rPr>
        <w:t>6、社会保障和就业（类）行政事业单位离退休（款）机关事业单位基本养老保险缴费支出（项）:指组织部用于单位缴纳基本养老保险支出。</w:t>
      </w:r>
    </w:p>
    <w:p>
      <w:pPr>
        <w:spacing w:line="580" w:lineRule="exact"/>
        <w:rPr>
          <w:rFonts w:hint="eastAsia" w:ascii="仿宋_GB2312" w:eastAsia="仿宋_GB2312"/>
          <w:sz w:val="32"/>
          <w:szCs w:val="32"/>
        </w:rPr>
      </w:pPr>
      <w:r>
        <w:rPr>
          <w:rFonts w:hint="eastAsia" w:ascii="仿宋_GB2312" w:eastAsia="仿宋_GB2312"/>
          <w:sz w:val="32"/>
          <w:szCs w:val="32"/>
        </w:rPr>
        <w:t>7、社会保障和就业（类）行政事业单位离退休（款）机关事业单位职业年金缴费支出（项）:指用于下属事业单位实账缴纳职业年金支出。</w:t>
      </w:r>
    </w:p>
    <w:p>
      <w:pPr>
        <w:spacing w:line="580" w:lineRule="exact"/>
        <w:rPr>
          <w:rFonts w:hint="eastAsia" w:ascii="仿宋_GB2312" w:eastAsia="仿宋_GB2312"/>
          <w:sz w:val="32"/>
          <w:szCs w:val="32"/>
        </w:rPr>
      </w:pPr>
      <w:r>
        <w:rPr>
          <w:rFonts w:hint="eastAsia" w:ascii="仿宋_GB2312" w:eastAsia="仿宋_GB2312"/>
          <w:sz w:val="32"/>
          <w:szCs w:val="32"/>
        </w:rPr>
        <w:t>8、医疗卫生与计划生育（类）行政事业单位医疗（款）行政单位医疗（项）:指组织部用于部机关基本医疗保险缴费。</w:t>
      </w:r>
    </w:p>
    <w:p>
      <w:pPr>
        <w:spacing w:line="580" w:lineRule="exact"/>
        <w:rPr>
          <w:rFonts w:hint="eastAsia" w:ascii="仿宋_GB2312" w:eastAsia="仿宋_GB2312"/>
          <w:sz w:val="32"/>
          <w:szCs w:val="32"/>
        </w:rPr>
      </w:pPr>
      <w:r>
        <w:rPr>
          <w:rFonts w:hint="eastAsia" w:ascii="仿宋_GB2312" w:eastAsia="仿宋_GB2312"/>
          <w:sz w:val="32"/>
          <w:szCs w:val="32"/>
        </w:rPr>
        <w:t>9、医疗卫生与计划生育（类）行政事业单位医疗（款）事业单位医疗（项）:指组织部下属事业单位用于基本医疗保险缴费。</w:t>
      </w:r>
    </w:p>
    <w:p>
      <w:pPr>
        <w:spacing w:line="580" w:lineRule="exact"/>
        <w:rPr>
          <w:rFonts w:hint="eastAsia" w:ascii="仿宋_GB2312" w:eastAsia="仿宋_GB2312"/>
          <w:sz w:val="32"/>
          <w:szCs w:val="32"/>
        </w:rPr>
      </w:pPr>
      <w:r>
        <w:rPr>
          <w:rFonts w:hint="eastAsia" w:ascii="仿宋_GB2312" w:eastAsia="仿宋_GB2312"/>
          <w:sz w:val="32"/>
          <w:szCs w:val="32"/>
        </w:rPr>
        <w:t>10、住房保障（类）住房改革支出（款）住房公积金（项）:指用于缴纳住房公积金支出。</w:t>
      </w:r>
    </w:p>
    <w:p>
      <w:pPr>
        <w:spacing w:line="580" w:lineRule="exact"/>
        <w:rPr>
          <w:rFonts w:hint="eastAsia" w:ascii="仿宋_GB2312" w:eastAsia="仿宋_GB2312"/>
          <w:sz w:val="32"/>
          <w:szCs w:val="32"/>
        </w:rPr>
      </w:pPr>
      <w:r>
        <w:rPr>
          <w:rFonts w:hint="eastAsia" w:ascii="仿宋_GB2312" w:eastAsia="仿宋_GB2312"/>
          <w:sz w:val="32"/>
          <w:szCs w:val="32"/>
        </w:rPr>
        <w:t>11、基本支出：指为保证机构正常运转，完成日常工作任务而发生的人员支出和公用支出。</w:t>
      </w:r>
    </w:p>
    <w:p>
      <w:pPr>
        <w:spacing w:line="620" w:lineRule="exact"/>
        <w:rPr>
          <w:rFonts w:hint="eastAsia" w:ascii="仿宋_GB2312" w:eastAsia="仿宋_GB2312"/>
          <w:sz w:val="32"/>
          <w:szCs w:val="32"/>
        </w:rPr>
      </w:pPr>
      <w:r>
        <w:rPr>
          <w:rFonts w:hint="eastAsia" w:ascii="仿宋_GB2312" w:eastAsia="仿宋_GB2312"/>
          <w:sz w:val="32"/>
          <w:szCs w:val="32"/>
        </w:rPr>
        <w:t>12、项目支出：指在基本支出之外为完成特定行政任务和事业发展目标所发生的支出。</w:t>
      </w:r>
    </w:p>
    <w:p>
      <w:pPr>
        <w:spacing w:line="620" w:lineRule="exact"/>
        <w:rPr>
          <w:rFonts w:hint="eastAsia" w:ascii="仿宋_GB2312" w:eastAsia="仿宋_GB2312"/>
          <w:sz w:val="32"/>
          <w:szCs w:val="32"/>
        </w:rPr>
      </w:pPr>
      <w:r>
        <w:rPr>
          <w:rFonts w:hint="eastAsia" w:ascii="仿宋_GB2312" w:eastAsia="仿宋_GB2312"/>
          <w:sz w:val="32"/>
          <w:szCs w:val="32"/>
        </w:rPr>
        <w:t>13、“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20" w:lineRule="exact"/>
        <w:rPr>
          <w:rFonts w:hint="eastAsia" w:ascii="仿宋_GB2312" w:eastAsia="仿宋_GB2312"/>
          <w:sz w:val="32"/>
          <w:szCs w:val="32"/>
        </w:rPr>
      </w:pPr>
      <w:r>
        <w:rPr>
          <w:rFonts w:hint="eastAsia" w:ascii="仿宋_GB2312" w:eastAsia="仿宋_GB2312"/>
          <w:sz w:val="32"/>
          <w:szCs w:val="32"/>
        </w:rPr>
        <w:t>14、机关运行经费：为保障行政单位（包含参照公务员法管理的事业单位）运行用于购买货物和服务的各项资金。包括办公及印刷费、邮电费、差旅费、会议费等费用开支。</w:t>
      </w:r>
    </w:p>
    <w:p>
      <w:pPr>
        <w:rPr>
          <w:rFonts w:ascii="仿宋" w:hAnsi="仿宋" w:eastAsia="仿宋"/>
          <w:sz w:val="30"/>
          <w:szCs w:val="30"/>
        </w:rPr>
      </w:pPr>
    </w:p>
    <w:p>
      <w:pPr>
        <w:rPr>
          <w:rFonts w:ascii="仿宋_GB2312" w:hAnsi="宋体" w:eastAsia="仿宋_GB2312" w:cs="仿宋_GB2312"/>
          <w:sz w:val="30"/>
          <w:szCs w:val="30"/>
        </w:rPr>
        <w:sectPr>
          <w:footerReference r:id="rId3" w:type="default"/>
          <w:footerReference r:id="rId4" w:type="even"/>
          <w:pgSz w:w="11906" w:h="16838"/>
          <w:pgMar w:top="1440" w:right="1800" w:bottom="1440" w:left="1800" w:header="851" w:footer="992" w:gutter="0"/>
          <w:cols w:space="425" w:num="1"/>
          <w:titlePg/>
          <w:docGrid w:type="lines" w:linePitch="312" w:charSpace="0"/>
        </w:sectPr>
      </w:pPr>
    </w:p>
    <w:tbl>
      <w:tblPr>
        <w:tblStyle w:val="7"/>
        <w:tblW w:w="14049" w:type="dxa"/>
        <w:tblInd w:w="93" w:type="dxa"/>
        <w:tblLayout w:type="autofit"/>
        <w:tblCellMar>
          <w:top w:w="0" w:type="dxa"/>
          <w:left w:w="108" w:type="dxa"/>
          <w:bottom w:w="0" w:type="dxa"/>
          <w:right w:w="108" w:type="dxa"/>
        </w:tblCellMar>
      </w:tblPr>
      <w:tblGrid>
        <w:gridCol w:w="4000"/>
        <w:gridCol w:w="1700"/>
        <w:gridCol w:w="4520"/>
        <w:gridCol w:w="3829"/>
      </w:tblGrid>
      <w:tr>
        <w:tblPrEx>
          <w:tblCellMar>
            <w:top w:w="0" w:type="dxa"/>
            <w:left w:w="108" w:type="dxa"/>
            <w:bottom w:w="0" w:type="dxa"/>
            <w:right w:w="108" w:type="dxa"/>
          </w:tblCellMar>
        </w:tblPrEx>
        <w:trPr>
          <w:trHeight w:val="255" w:hRule="atLeast"/>
        </w:trPr>
        <w:tc>
          <w:tcPr>
            <w:tcW w:w="4000" w:type="dxa"/>
            <w:tcBorders>
              <w:top w:val="nil"/>
              <w:left w:val="nil"/>
              <w:bottom w:val="nil"/>
              <w:right w:val="nil"/>
            </w:tcBorders>
            <w:shd w:val="clear" w:color="auto" w:fill="auto"/>
            <w:noWrap/>
            <w:vAlign w:val="bottom"/>
          </w:tcPr>
          <w:p>
            <w:pPr>
              <w:widowControl/>
              <w:jc w:val="left"/>
              <w:rPr>
                <w:color w:val="000000"/>
                <w:kern w:val="0"/>
                <w:sz w:val="24"/>
                <w:szCs w:val="24"/>
              </w:rPr>
            </w:pPr>
          </w:p>
        </w:tc>
        <w:tc>
          <w:tcPr>
            <w:tcW w:w="1700" w:type="dxa"/>
            <w:tcBorders>
              <w:top w:val="nil"/>
              <w:left w:val="nil"/>
              <w:bottom w:val="nil"/>
              <w:right w:val="nil"/>
            </w:tcBorders>
            <w:shd w:val="clear" w:color="auto" w:fill="auto"/>
            <w:noWrap/>
            <w:vAlign w:val="bottom"/>
          </w:tcPr>
          <w:p>
            <w:pPr>
              <w:widowControl/>
              <w:jc w:val="left"/>
              <w:rPr>
                <w:color w:val="000000"/>
                <w:kern w:val="0"/>
                <w:sz w:val="24"/>
                <w:szCs w:val="24"/>
              </w:rPr>
            </w:pPr>
          </w:p>
        </w:tc>
        <w:tc>
          <w:tcPr>
            <w:tcW w:w="4520" w:type="dxa"/>
            <w:tcBorders>
              <w:top w:val="nil"/>
              <w:left w:val="nil"/>
              <w:bottom w:val="nil"/>
              <w:right w:val="nil"/>
            </w:tcBorders>
            <w:shd w:val="clear" w:color="auto" w:fill="auto"/>
            <w:noWrap/>
            <w:vAlign w:val="bottom"/>
          </w:tcPr>
          <w:p>
            <w:pPr>
              <w:widowControl/>
              <w:jc w:val="left"/>
              <w:rPr>
                <w:color w:val="000000"/>
                <w:kern w:val="0"/>
                <w:sz w:val="24"/>
                <w:szCs w:val="24"/>
              </w:rPr>
            </w:pPr>
          </w:p>
        </w:tc>
        <w:tc>
          <w:tcPr>
            <w:tcW w:w="3829" w:type="dxa"/>
            <w:tcBorders>
              <w:top w:val="nil"/>
              <w:left w:val="nil"/>
              <w:bottom w:val="nil"/>
              <w:right w:val="nil"/>
            </w:tcBorders>
            <w:shd w:val="clear" w:color="auto" w:fill="auto"/>
            <w:noWrap/>
            <w:vAlign w:val="bottom"/>
          </w:tcPr>
          <w:p>
            <w:pPr>
              <w:widowControl/>
              <w:jc w:val="left"/>
              <w:rPr>
                <w:color w:val="000000"/>
                <w:kern w:val="0"/>
                <w:sz w:val="24"/>
                <w:szCs w:val="24"/>
              </w:rPr>
            </w:pPr>
          </w:p>
        </w:tc>
      </w:tr>
    </w:tbl>
    <w:p>
      <w:pPr>
        <w:rPr>
          <w:sz w:val="24"/>
          <w:szCs w:val="24"/>
        </w:rPr>
      </w:pPr>
      <w:bookmarkStart w:id="0" w:name="_GoBack"/>
      <w:bookmarkEnd w:id="0"/>
    </w:p>
    <w:sectPr>
      <w:pgSz w:w="16838" w:h="11906" w:orient="landscape"/>
      <w:pgMar w:top="426" w:right="1440" w:bottom="312"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p>
  <w:p>
    <w:pPr>
      <w:pStyle w:val="4"/>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4BA6"/>
    <w:rsid w:val="00011DF8"/>
    <w:rsid w:val="002C4BA6"/>
    <w:rsid w:val="00336208"/>
    <w:rsid w:val="0046790F"/>
    <w:rsid w:val="0057662F"/>
    <w:rsid w:val="005B788A"/>
    <w:rsid w:val="005F3BE5"/>
    <w:rsid w:val="00707535"/>
    <w:rsid w:val="00775145"/>
    <w:rsid w:val="00834D0F"/>
    <w:rsid w:val="00AF6329"/>
    <w:rsid w:val="00D77A7C"/>
    <w:rsid w:val="00DC2D1A"/>
    <w:rsid w:val="057C65BE"/>
    <w:rsid w:val="431B3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0"/>
    <w:qFormat/>
    <w:uiPriority w:val="99"/>
    <w:pPr>
      <w:keepNext/>
      <w:keepLines/>
      <w:spacing w:line="416" w:lineRule="auto"/>
      <w:outlineLvl w:val="1"/>
    </w:pPr>
    <w:rPr>
      <w:rFonts w:ascii="Arial" w:hAnsi="Arial" w:eastAsia="黑体" w:cs="Arial"/>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page number"/>
    <w:basedOn w:val="8"/>
    <w:qFormat/>
    <w:uiPriority w:val="99"/>
    <w:rPr>
      <w:rFonts w:cs="Times New Roman"/>
    </w:rPr>
  </w:style>
  <w:style w:type="character" w:customStyle="1" w:styleId="10">
    <w:name w:val="标题 2 Char"/>
    <w:basedOn w:val="8"/>
    <w:link w:val="2"/>
    <w:qFormat/>
    <w:uiPriority w:val="99"/>
    <w:rPr>
      <w:rFonts w:ascii="Arial" w:hAnsi="Arial" w:eastAsia="黑体" w:cs="Arial"/>
      <w:b/>
      <w:bCs/>
      <w:sz w:val="32"/>
      <w:szCs w:val="32"/>
    </w:rPr>
  </w:style>
  <w:style w:type="character" w:customStyle="1" w:styleId="11">
    <w:name w:val="页脚 Char"/>
    <w:basedOn w:val="8"/>
    <w:link w:val="4"/>
    <w:qFormat/>
    <w:uiPriority w:val="99"/>
    <w:rPr>
      <w:rFonts w:ascii="Calibri" w:hAnsi="Calibri" w:eastAsia="宋体" w:cs="Calibri"/>
      <w:sz w:val="18"/>
      <w:szCs w:val="18"/>
    </w:rPr>
  </w:style>
  <w:style w:type="character" w:customStyle="1" w:styleId="12">
    <w:name w:val="页眉 Char"/>
    <w:basedOn w:val="8"/>
    <w:link w:val="5"/>
    <w:qFormat/>
    <w:uiPriority w:val="99"/>
    <w:rPr>
      <w:rFonts w:ascii="Calibri" w:hAnsi="Calibri" w:eastAsia="宋体" w:cs="Calibri"/>
      <w:sz w:val="18"/>
      <w:szCs w:val="18"/>
    </w:rPr>
  </w:style>
  <w:style w:type="character" w:customStyle="1" w:styleId="13">
    <w:name w:val="批注框文本 Char"/>
    <w:basedOn w:val="8"/>
    <w:link w:val="3"/>
    <w:semiHidden/>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1222</Words>
  <Characters>6972</Characters>
  <Lines>58</Lines>
  <Paragraphs>16</Paragraphs>
  <TotalTime>10</TotalTime>
  <ScaleCrop>false</ScaleCrop>
  <LinksUpToDate>false</LinksUpToDate>
  <CharactersWithSpaces>8178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2020-06-08T02:43:00Z</dcterms:created>
  <dc:creator>dell</dc:creator>
  <cp:lastModifiedBy>小楚</cp:lastModifiedBy>
  <dcterms:modified xsi:type="dcterms:W3CDTF">2020-06-19T08:58:49Z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